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3E6F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《淮北市科技创新券管理办法（试行）》</w:t>
      </w:r>
    </w:p>
    <w:p w14:paraId="3F979DBD">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起草说明</w:t>
      </w:r>
    </w:p>
    <w:p w14:paraId="1A85EA5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olor w:val="auto"/>
          <w:sz w:val="32"/>
          <w:szCs w:val="32"/>
        </w:rPr>
      </w:pPr>
    </w:p>
    <w:p w14:paraId="09FADE8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黑体" w:eastAsia="仿宋_GB2312"/>
          <w:color w:val="auto"/>
          <w:sz w:val="32"/>
          <w:szCs w:val="32"/>
        </w:rPr>
      </w:pPr>
      <w:r>
        <w:rPr>
          <w:rFonts w:hint="eastAsia" w:ascii="黑体" w:hAnsi="黑体" w:eastAsia="黑体"/>
          <w:color w:val="auto"/>
          <w:sz w:val="32"/>
          <w:szCs w:val="32"/>
        </w:rPr>
        <w:t>一、起草背景</w:t>
      </w:r>
      <w:r>
        <w:rPr>
          <w:rFonts w:hint="eastAsia" w:ascii="仿宋_GB2312" w:hAnsi="黑体" w:eastAsia="仿宋_GB2312"/>
          <w:color w:val="auto"/>
          <w:sz w:val="32"/>
          <w:szCs w:val="32"/>
        </w:rPr>
        <w:t xml:space="preserve">  </w:t>
      </w:r>
    </w:p>
    <w:p w14:paraId="3089F33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微软雅黑" w:eastAsia="仿宋_GB2312" w:cs="微软雅黑"/>
          <w:color w:val="000000"/>
          <w:sz w:val="32"/>
          <w:szCs w:val="32"/>
          <w:lang w:val="en-US" w:eastAsia="zh-CN"/>
        </w:rPr>
      </w:pPr>
      <w:r>
        <w:rPr>
          <w:rFonts w:hint="eastAsia" w:ascii="仿宋_GB2312" w:hAnsi="微软雅黑" w:eastAsia="仿宋_GB2312" w:cs="微软雅黑"/>
          <w:color w:val="000000"/>
          <w:sz w:val="32"/>
          <w:szCs w:val="32"/>
          <w:lang w:val="en-US" w:eastAsia="zh-CN"/>
        </w:rPr>
        <w:t>为贯彻落实《国务院关于强化实施创新驱动发展战略进一步推进大众创业万众创新深入发展的意见》《国务院关于国家重大科研基础设施和大型科研仪器向社会开放的意见》《长三角科技创新共同体建设发展规划》《安徽省科学技术进步条例》《安徽省促进科技成果转化条例》等文件精神，淮北市科技局起草了《淮北市科技创新券管理办法（试行）》。因此，为进一步强化企业科技创新主体地位，分担企业科研经营风险，激发科技型企业创新活力和发展动力，鼓励和引导科技创新券服务机构更好服务科技型企业技术创新，加速科技成果转移转化，推动省内外优质科技资源开放共享，制定《淮北市科技创新券管理办法（试行）》。</w:t>
      </w:r>
    </w:p>
    <w:p w14:paraId="70E0CBC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二、起草过程</w:t>
      </w:r>
    </w:p>
    <w:p w14:paraId="743FE7D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仿宋_GB2312" w:hAnsi="方正仿宋_GBK" w:eastAsia="仿宋_GB2312" w:cs="方正仿宋_GBK"/>
          <w:color w:val="auto"/>
          <w:kern w:val="0"/>
          <w:sz w:val="32"/>
          <w:szCs w:val="32"/>
          <w:lang w:val="en-US"/>
        </w:rPr>
      </w:pPr>
      <w:r>
        <w:rPr>
          <w:rFonts w:hint="default" w:ascii="Times New Roman" w:hAnsi="Times New Roman" w:eastAsia="仿宋_GB2312" w:cs="Times New Roman"/>
          <w:color w:val="000000"/>
          <w:sz w:val="32"/>
          <w:szCs w:val="32"/>
          <w:lang w:val="en-US" w:eastAsia="zh-CN"/>
        </w:rPr>
        <w:t>参照《安徽省科技创新券管理办法（试行）》，在借鉴合肥市科技局、芜湖市科技局等兄弟单位开展创新券工作经验的基础上，起草了《淮北市科技创新券管理办法（试行）（送审稿）》。</w:t>
      </w:r>
      <w:r>
        <w:rPr>
          <w:rFonts w:hint="eastAsia" w:ascii="Times New Roman" w:hAnsi="Times New Roman" w:eastAsia="仿宋_GB2312" w:cs="Times New Roman"/>
          <w:color w:val="000000"/>
          <w:sz w:val="32"/>
          <w:szCs w:val="32"/>
          <w:lang w:val="en-US" w:eastAsia="zh-CN"/>
        </w:rPr>
        <w:t>2024年</w:t>
      </w:r>
      <w:r>
        <w:rPr>
          <w:rFonts w:hint="default" w:ascii="Times New Roman" w:hAnsi="Times New Roman" w:eastAsia="仿宋_GB2312" w:cs="Times New Roman"/>
          <w:color w:val="000000"/>
          <w:sz w:val="32"/>
          <w:szCs w:val="32"/>
          <w:lang w:val="en-US" w:eastAsia="zh-CN"/>
        </w:rPr>
        <w:t>1月17日下午邀请企业代表、县区科技主管部门、人大代表及政协</w:t>
      </w:r>
      <w:r>
        <w:rPr>
          <w:rFonts w:hint="eastAsia" w:eastAsia="仿宋_GB2312" w:cs="Times New Roman"/>
          <w:color w:val="000000"/>
          <w:sz w:val="32"/>
          <w:szCs w:val="32"/>
          <w:lang w:val="en-US" w:eastAsia="zh-CN"/>
        </w:rPr>
        <w:t>委员</w:t>
      </w:r>
      <w:r>
        <w:rPr>
          <w:rFonts w:hint="default" w:ascii="Times New Roman" w:hAnsi="Times New Roman" w:eastAsia="仿宋_GB2312" w:cs="Times New Roman"/>
          <w:color w:val="000000"/>
          <w:sz w:val="32"/>
          <w:szCs w:val="32"/>
          <w:lang w:val="en-US" w:eastAsia="zh-CN"/>
        </w:rPr>
        <w:t>参与讨论</w:t>
      </w:r>
      <w:r>
        <w:rPr>
          <w:rFonts w:hint="eastAsia" w:ascii="Times New Roman" w:hAnsi="Times New Roman" w:eastAsia="仿宋_GB2312" w:cs="Times New Roman"/>
          <w:color w:val="000000"/>
          <w:sz w:val="32"/>
          <w:szCs w:val="32"/>
          <w:lang w:val="en-US" w:eastAsia="zh-CN"/>
        </w:rPr>
        <w:t>，3月13日书面征求市有关部门意见</w:t>
      </w:r>
      <w:r>
        <w:rPr>
          <w:rFonts w:hint="eastAsia" w:eastAsia="仿宋_GB2312" w:cs="Times New Roman"/>
          <w:color w:val="000000"/>
          <w:sz w:val="32"/>
          <w:szCs w:val="32"/>
          <w:lang w:val="en-US" w:eastAsia="zh-CN"/>
        </w:rPr>
        <w:t>建议。</w:t>
      </w:r>
      <w:bookmarkStart w:id="0" w:name="_GoBack"/>
      <w:bookmarkEnd w:id="0"/>
    </w:p>
    <w:p w14:paraId="5BFC215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黑体" w:hAnsi="黑体" w:eastAsia="黑体" w:cs="sans-serif"/>
          <w:bCs/>
          <w:color w:val="auto"/>
          <w:sz w:val="32"/>
          <w:szCs w:val="32"/>
          <w:shd w:val="clear" w:color="auto" w:fill="FFFFFF"/>
        </w:rPr>
      </w:pPr>
      <w:r>
        <w:rPr>
          <w:rFonts w:hint="eastAsia" w:ascii="黑体" w:hAnsi="黑体" w:eastAsia="黑体" w:cs="sans-serif"/>
          <w:bCs/>
          <w:color w:val="auto"/>
          <w:sz w:val="32"/>
          <w:szCs w:val="32"/>
          <w:shd w:val="clear" w:color="auto" w:fill="FFFFFF"/>
        </w:rPr>
        <w:t>三、主要内容</w:t>
      </w:r>
    </w:p>
    <w:p w14:paraId="3671712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微软雅黑" w:eastAsia="仿宋_GB2312" w:cs="微软雅黑"/>
          <w:color w:val="000000"/>
          <w:sz w:val="32"/>
          <w:szCs w:val="32"/>
          <w:lang w:val="en-US" w:eastAsia="zh-CN"/>
        </w:rPr>
      </w:pPr>
      <w:r>
        <w:rPr>
          <w:rFonts w:hint="eastAsia" w:ascii="仿宋_GB2312" w:hAnsi="微软雅黑" w:eastAsia="仿宋_GB2312" w:cs="微软雅黑"/>
          <w:color w:val="000000"/>
          <w:sz w:val="32"/>
          <w:szCs w:val="32"/>
          <w:lang w:val="en-US" w:eastAsia="zh-CN"/>
        </w:rPr>
        <w:t>《办法》分总则、创新券申请、领域与兑现、监督管理和附则五章，共二十三条。</w:t>
      </w:r>
    </w:p>
    <w:p w14:paraId="4F1FAC2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2" w:firstLineChars="200"/>
        <w:jc w:val="both"/>
        <w:textAlignment w:val="auto"/>
        <w:rPr>
          <w:rFonts w:hint="eastAsia" w:ascii="宋体" w:hAnsi="宋体" w:eastAsia="宋体" w:cs="宋体"/>
          <w:i w:val="0"/>
          <w:caps w:val="0"/>
          <w:color w:val="333333"/>
          <w:spacing w:val="0"/>
          <w:sz w:val="30"/>
          <w:szCs w:val="30"/>
          <w:shd w:val="clear" w:color="auto" w:fill="FFFFFF"/>
          <w:lang w:val="en-US" w:eastAsia="zh-CN"/>
        </w:rPr>
      </w:pPr>
      <w:r>
        <w:rPr>
          <w:rFonts w:hint="eastAsia" w:ascii="楷体_GB2312" w:hAnsi="楷体_GB2312" w:eastAsia="楷体_GB2312" w:cs="楷体_GB2312"/>
          <w:b/>
          <w:bCs/>
          <w:i w:val="0"/>
          <w:caps w:val="0"/>
          <w:color w:val="333333"/>
          <w:spacing w:val="0"/>
          <w:sz w:val="30"/>
          <w:szCs w:val="30"/>
          <w:shd w:val="clear" w:color="auto" w:fill="FFFFFF"/>
          <w:lang w:val="en-US" w:eastAsia="zh-CN"/>
        </w:rPr>
        <w:t>（一）明确创新券的兑付总则。</w:t>
      </w:r>
      <w:r>
        <w:rPr>
          <w:rFonts w:hint="eastAsia" w:ascii="仿宋_GB2312" w:hAnsi="微软雅黑" w:eastAsia="仿宋_GB2312" w:cs="微软雅黑"/>
          <w:color w:val="000000"/>
          <w:sz w:val="32"/>
          <w:szCs w:val="32"/>
          <w:lang w:val="en-US" w:eastAsia="zh-CN"/>
        </w:rPr>
        <w:t>明确科技创新券定义：指运用市级财政科技资金，补助企业开展研发活动、建立研发机构、分担科研经营风险、购买技术创新专业服务的制度安排。创新券采用申报登记形式，由企业申领和使用，由企业或服务机构申请兑付。市科技局在实施过程中可积极探索使用电子券形式兑付。</w:t>
      </w:r>
    </w:p>
    <w:p w14:paraId="3C8C0FE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02" w:firstLineChars="200"/>
        <w:jc w:val="both"/>
        <w:textAlignment w:val="auto"/>
        <w:rPr>
          <w:rFonts w:hint="eastAsia" w:ascii="仿宋_GB2312" w:hAnsi="微软雅黑" w:eastAsia="仿宋_GB2312" w:cs="微软雅黑"/>
          <w:color w:val="000000"/>
          <w:sz w:val="32"/>
          <w:szCs w:val="32"/>
        </w:rPr>
      </w:pPr>
      <w:r>
        <w:rPr>
          <w:rFonts w:hint="eastAsia" w:ascii="楷体_GB2312" w:hAnsi="楷体_GB2312" w:eastAsia="楷体_GB2312" w:cs="楷体_GB2312"/>
          <w:b/>
          <w:bCs/>
          <w:i w:val="0"/>
          <w:caps w:val="0"/>
          <w:color w:val="333333"/>
          <w:spacing w:val="0"/>
          <w:sz w:val="30"/>
          <w:szCs w:val="30"/>
          <w:shd w:val="clear" w:color="auto" w:fill="FFFFFF"/>
          <w:lang w:val="en-US" w:eastAsia="zh-CN"/>
        </w:rPr>
        <w:t>（二）明确支持方向和额度。</w:t>
      </w:r>
      <w:r>
        <w:rPr>
          <w:rFonts w:hint="eastAsia" w:ascii="仿宋_GB2312" w:hAnsi="微软雅黑" w:eastAsia="仿宋_GB2312" w:cs="微软雅黑"/>
          <w:color w:val="000000"/>
          <w:sz w:val="32"/>
          <w:szCs w:val="32"/>
        </w:rPr>
        <w:t>创新券</w:t>
      </w:r>
      <w:r>
        <w:rPr>
          <w:rFonts w:hint="eastAsia" w:ascii="仿宋_GB2312" w:hAnsi="微软雅黑" w:eastAsia="仿宋_GB2312" w:cs="微软雅黑"/>
          <w:color w:val="000000"/>
          <w:sz w:val="32"/>
          <w:szCs w:val="32"/>
          <w:lang w:eastAsia="zh-CN"/>
        </w:rPr>
        <w:t>面向规上制造业企业、高新技术企业和科技型中小企业，</w:t>
      </w:r>
      <w:r>
        <w:rPr>
          <w:rFonts w:hint="eastAsia" w:ascii="仿宋_GB2312" w:hAnsi="微软雅黑" w:eastAsia="仿宋_GB2312" w:cs="微软雅黑"/>
          <w:color w:val="000000"/>
          <w:sz w:val="32"/>
          <w:szCs w:val="32"/>
        </w:rPr>
        <w:t>重点支持研发活动清零、研发机构清零、科技保险服务、购买科技服务四个方向。</w:t>
      </w:r>
    </w:p>
    <w:p w14:paraId="4E073F8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rPr>
        <w:t>1.研发活动清零支持方向：使用单位为</w:t>
      </w:r>
      <w:r>
        <w:rPr>
          <w:rFonts w:ascii="Times New Roman" w:hAnsi="Times New Roman" w:eastAsia="仿宋_GB2312"/>
          <w:color w:val="000000"/>
          <w:sz w:val="32"/>
          <w:szCs w:val="32"/>
        </w:rPr>
        <w:t>注册在本市，年度主营业务收入1亿元以上实际无研发活动的规上制造业企业。已清零企业可凭券向市领取不高于研发投入费用总额10%的补贴资金（每家清零企业只补贴一次且不超过30万元）。</w:t>
      </w:r>
    </w:p>
    <w:p w14:paraId="17E80C4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2.研发机构清零支持方向：使用单位</w:t>
      </w:r>
      <w:r>
        <w:rPr>
          <w:rFonts w:hint="eastAsia" w:ascii="Times New Roman" w:hAnsi="Times New Roman" w:eastAsia="仿宋_GB2312"/>
          <w:color w:val="000000"/>
          <w:sz w:val="32"/>
          <w:szCs w:val="32"/>
        </w:rPr>
        <w:t>为注册在本市，年度主营业务收入5亿元以上实际无研发机构的规上制造业企业。已清零企业可凭券向市领取不高于研发机构投入费用总10%的补贴资金（每家清零企业只补贴一次且不超过60万元）</w:t>
      </w:r>
      <w:r>
        <w:rPr>
          <w:rFonts w:hint="default" w:ascii="Times New Roman" w:hAnsi="Times New Roman" w:eastAsia="仿宋_GB2312" w:cs="Times New Roman"/>
          <w:color w:val="000000"/>
          <w:sz w:val="32"/>
          <w:szCs w:val="32"/>
        </w:rPr>
        <w:t>。</w:t>
      </w:r>
      <w:r>
        <w:rPr>
          <w:rFonts w:hint="eastAsia" w:ascii="Times New Roman" w:hAnsi="Times New Roman" w:eastAsia="仿宋_GB2312"/>
          <w:color w:val="000000"/>
          <w:sz w:val="32"/>
          <w:szCs w:val="32"/>
        </w:rPr>
        <w:t>同一企业研发活动清零方向支持和研发机构清零方向支持享受补贴资金合计不超过60万元。</w:t>
      </w:r>
    </w:p>
    <w:p w14:paraId="047B99A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Times New Roman" w:hAnsi="Times New Roman" w:eastAsia="仿宋_GB2312"/>
          <w:color w:val="000000"/>
          <w:sz w:val="32"/>
          <w:szCs w:val="32"/>
        </w:rPr>
      </w:pPr>
      <w:r>
        <w:rPr>
          <w:rFonts w:hint="default" w:ascii="Times New Roman" w:hAnsi="Times New Roman" w:eastAsia="仿宋_GB2312" w:cs="Times New Roman"/>
          <w:color w:val="000000"/>
          <w:sz w:val="32"/>
          <w:szCs w:val="32"/>
        </w:rPr>
        <w:t>3.科技保险服务支持方向：使用单位</w:t>
      </w:r>
      <w:r>
        <w:rPr>
          <w:rFonts w:hint="eastAsia" w:ascii="Times New Roman" w:hAnsi="Times New Roman" w:eastAsia="仿宋_GB2312"/>
          <w:color w:val="000000"/>
          <w:sz w:val="32"/>
          <w:szCs w:val="32"/>
        </w:rPr>
        <w:t>为注册在本市，有效期内的高新技术企业。企业可凭券向市领取不高于实际支出保费20%的补贴资金（每年每家不超过30万元）。纳入科技保险服务补贴的12个险种为：产品研发责任保险、关键研发设备保险、企业财产保险、产品责任保险、产品质量保证保险、董事会监事会高级管理人员职业责任保险、雇主责任保险、高管人员和关键研发人员团体健康保险、环境污染责任保险、专利保险、小额贷款保证保险、项目投资损失保险。</w:t>
      </w:r>
    </w:p>
    <w:p w14:paraId="78F74D25">
      <w:pPr>
        <w:pStyle w:val="9"/>
        <w:spacing w:beforeAutospacing="0" w:afterAutospacing="0" w:line="580" w:lineRule="exact"/>
        <w:ind w:firstLine="643"/>
        <w:contextualSpacing/>
        <w:jc w:val="both"/>
        <w:rPr>
          <w:rFonts w:hint="eastAsia" w:ascii="仿宋_GB2312" w:hAnsi="微软雅黑" w:eastAsia="仿宋_GB2312" w:cs="微软雅黑"/>
          <w:color w:val="000000"/>
          <w:sz w:val="32"/>
          <w:szCs w:val="32"/>
          <w:lang w:val="en-US" w:eastAsia="zh-CN"/>
        </w:rPr>
      </w:pPr>
      <w:r>
        <w:rPr>
          <w:rFonts w:hint="default" w:ascii="Times New Roman" w:hAnsi="Times New Roman" w:eastAsia="仿宋_GB2312" w:cs="Times New Roman"/>
          <w:color w:val="000000"/>
          <w:sz w:val="32"/>
          <w:szCs w:val="32"/>
        </w:rPr>
        <w:t>4.购买科技服务支持方向：使用单位</w:t>
      </w:r>
      <w:r>
        <w:rPr>
          <w:rFonts w:hint="eastAsia" w:ascii="Times New Roman" w:hAnsi="Times New Roman" w:eastAsia="仿宋_GB2312"/>
          <w:color w:val="000000"/>
          <w:sz w:val="32"/>
          <w:szCs w:val="32"/>
        </w:rPr>
        <w:t>为注册在本市，有效期内的高新技术企业（上年度主营业务收入在2亿元以下）、上年度国家科技型中小企业。企业可凭券向市科技局认可的各级各类科研院所、高等学校、科技创新服务平台（含共建单位）、重点实验室（工程技术研究中心）等服务机构购买科技服务。市科技局依据服务订单金额给予20%的补贴（每家企业每年不超过30万元），可自行选择企业兑付或机构兑付模式。支持全国范围内的优秀服务机构给本地企业提供科技创新服务。</w:t>
      </w:r>
    </w:p>
    <w:p w14:paraId="3A7456E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02" w:firstLineChars="200"/>
        <w:contextualSpacing/>
        <w:jc w:val="both"/>
        <w:textAlignment w:val="auto"/>
        <w:rPr>
          <w:rFonts w:hint="eastAsia" w:ascii="宋体" w:hAnsi="宋体" w:eastAsia="宋体" w:cs="宋体"/>
          <w:i w:val="0"/>
          <w:caps w:val="0"/>
          <w:color w:val="333333"/>
          <w:spacing w:val="0"/>
          <w:sz w:val="30"/>
          <w:szCs w:val="30"/>
          <w:shd w:val="clear" w:color="auto" w:fill="FFFFFF"/>
          <w:lang w:val="en-US" w:eastAsia="zh-CN"/>
        </w:rPr>
      </w:pPr>
      <w:r>
        <w:rPr>
          <w:rFonts w:hint="eastAsia" w:ascii="楷体_GB2312" w:hAnsi="楷体_GB2312" w:eastAsia="楷体_GB2312" w:cs="楷体_GB2312"/>
          <w:b/>
          <w:bCs/>
          <w:i w:val="0"/>
          <w:caps w:val="0"/>
          <w:color w:val="333333"/>
          <w:spacing w:val="0"/>
          <w:sz w:val="30"/>
          <w:szCs w:val="30"/>
          <w:shd w:val="clear" w:color="auto" w:fill="FFFFFF"/>
          <w:lang w:val="en-US" w:eastAsia="zh-CN"/>
        </w:rPr>
        <w:t>（三）明确领取与兑现要求。</w:t>
      </w:r>
      <w:r>
        <w:rPr>
          <w:rFonts w:hint="eastAsia" w:ascii="Times New Roman" w:hAnsi="Times New Roman" w:eastAsia="仿宋_GB2312"/>
          <w:color w:val="000000"/>
          <w:sz w:val="32"/>
          <w:szCs w:val="32"/>
          <w:lang w:val="en-US" w:eastAsia="zh-CN"/>
        </w:rPr>
        <w:t>市科技局依据关键证明材料开展审核兑付工作，具体兑现要求届时另发通知。申领创新券企业需要向市科技局提供材料包括：</w:t>
      </w:r>
      <w:r>
        <w:rPr>
          <w:rFonts w:hint="eastAsia" w:ascii="Times New Roman" w:hAnsi="Times New Roman" w:eastAsia="仿宋_GB2312"/>
          <w:color w:val="000000"/>
          <w:sz w:val="32"/>
          <w:szCs w:val="32"/>
        </w:rPr>
        <w:t>创新券兑现项目申请书；申请方向的证明材料；付费发票。市科技局委托第三方机构组织专家对创新券申请、创新券兑现进行评审。</w:t>
      </w:r>
    </w:p>
    <w:p w14:paraId="75B3C4B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02" w:firstLineChars="200"/>
        <w:contextualSpacing/>
        <w:jc w:val="both"/>
        <w:textAlignment w:val="auto"/>
        <w:rPr>
          <w:rFonts w:hint="eastAsia" w:ascii="Times New Roman" w:hAnsi="Times New Roman" w:eastAsia="仿宋_GB2312"/>
          <w:color w:val="000000"/>
          <w:sz w:val="32"/>
          <w:szCs w:val="32"/>
          <w:lang w:val="en-US" w:eastAsia="zh-CN"/>
        </w:rPr>
      </w:pPr>
      <w:r>
        <w:rPr>
          <w:rFonts w:hint="eastAsia" w:ascii="楷体_GB2312" w:hAnsi="楷体_GB2312" w:eastAsia="楷体_GB2312" w:cs="楷体_GB2312"/>
          <w:b/>
          <w:bCs/>
          <w:i w:val="0"/>
          <w:caps w:val="0"/>
          <w:color w:val="333333"/>
          <w:spacing w:val="0"/>
          <w:sz w:val="30"/>
          <w:szCs w:val="30"/>
          <w:shd w:val="clear" w:color="auto" w:fill="FFFFFF"/>
          <w:lang w:val="en-US" w:eastAsia="zh-CN"/>
        </w:rPr>
        <w:t>（四）明确监督与管理原则。</w:t>
      </w:r>
      <w:r>
        <w:rPr>
          <w:rFonts w:hint="eastAsia" w:ascii="Times New Roman" w:hAnsi="Times New Roman" w:eastAsia="仿宋_GB2312"/>
          <w:color w:val="000000"/>
          <w:sz w:val="32"/>
          <w:szCs w:val="32"/>
          <w:lang w:val="en-US" w:eastAsia="zh-CN"/>
        </w:rPr>
        <w:t>创新券管理遵守国家有关法律、法规和规章制度，科技部门组织对一定比例创新券使用情况进行监督检查。企业和服务机构应当积极配合监督检查。对于拒不配合监督检查，或有弄虚作假行为经查实的，科技部门不予兑付或追回已兑付资金，并将相关单位纳入有关科技信用记录；情节严重的，依法追究法律责任。</w:t>
      </w:r>
    </w:p>
    <w:p w14:paraId="049FBD6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contextualSpacing/>
        <w:jc w:val="both"/>
        <w:textAlignment w:val="auto"/>
        <w:rPr>
          <w:rFonts w:hint="eastAsia" w:ascii="宋体" w:hAnsi="宋体" w:cs="宋体"/>
          <w:i w:val="0"/>
          <w:caps w:val="0"/>
          <w:color w:val="333333"/>
          <w:spacing w:val="0"/>
          <w:sz w:val="30"/>
          <w:szCs w:val="30"/>
          <w:shd w:val="clear" w:color="auto" w:fill="FFFFFF"/>
          <w:lang w:val="en-US" w:eastAsia="zh-CN"/>
        </w:rPr>
      </w:pPr>
      <w:r>
        <w:rPr>
          <w:rFonts w:hint="eastAsia" w:ascii="Times New Roman" w:hAnsi="Times New Roman" w:eastAsia="仿宋_GB2312"/>
          <w:color w:val="000000"/>
          <w:sz w:val="32"/>
          <w:szCs w:val="32"/>
          <w:lang w:val="en-US" w:eastAsia="zh-CN"/>
        </w:rPr>
        <w:t>科技部门、财政部门组织对创新券资金支出进行绩效评价，创新券资金的安排、拨付、使用和管理，依法接受审计机关的审计和监察机关的监察，并主动接受社会的监督。</w:t>
      </w:r>
    </w:p>
    <w:p w14:paraId="4A965F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黑体" w:hAnsi="黑体" w:eastAsia="黑体" w:cs="宋体"/>
          <w:color w:val="auto"/>
          <w:sz w:val="32"/>
          <w:szCs w:val="32"/>
        </w:rPr>
      </w:pPr>
      <w:r>
        <w:rPr>
          <w:rFonts w:hint="eastAsia" w:ascii="黑体" w:hAnsi="黑体" w:eastAsia="黑体" w:cs="仿宋_GB2312"/>
          <w:color w:val="auto"/>
          <w:sz w:val="32"/>
          <w:szCs w:val="32"/>
          <w:shd w:val="clear" w:color="auto" w:fill="FFFFFF"/>
        </w:rPr>
        <w:t>四、主要特色</w:t>
      </w:r>
    </w:p>
    <w:p w14:paraId="0F8F52F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sans-serif" w:eastAsia="仿宋_GB2312" w:cs="sans-serif"/>
          <w:color w:val="auto"/>
          <w:kern w:val="0"/>
          <w:sz w:val="32"/>
          <w:szCs w:val="32"/>
          <w:shd w:val="clear" w:color="auto" w:fill="FFFFFF"/>
        </w:rPr>
      </w:pPr>
      <w:r>
        <w:rPr>
          <w:rFonts w:hint="eastAsia" w:ascii="Times New Roman" w:hAnsi="Times New Roman" w:eastAsia="仿宋_GB2312"/>
          <w:color w:val="000000"/>
          <w:sz w:val="32"/>
          <w:szCs w:val="32"/>
          <w:lang w:val="en-US" w:eastAsia="zh-CN"/>
        </w:rPr>
        <w:t>《淮北市科技创新券管理办法（试行）》为淮北市第一次开展科技创新券补助工作，填补了</w:t>
      </w:r>
      <w:r>
        <w:rPr>
          <w:rFonts w:hint="eastAsia" w:ascii="仿宋_GB2312" w:hAnsi="微软雅黑" w:eastAsia="仿宋_GB2312" w:cs="微软雅黑"/>
          <w:color w:val="000000"/>
          <w:sz w:val="32"/>
          <w:szCs w:val="32"/>
          <w:lang w:val="en-US" w:eastAsia="zh-CN"/>
        </w:rPr>
        <w:t>规上制造业企业研发活动及研发机构“两清零”行动奖补工作的空白，对推进科技保险和科技服务业将起到较强的支撑保障和引导激励作用。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兰亭黑_GBK">
    <w:altName w:val="Arial Unicode MS"/>
    <w:panose1 w:val="00000000000000000000"/>
    <w:charset w:val="00"/>
    <w:family w:val="script"/>
    <w:pitch w:val="default"/>
    <w:sig w:usb0="00000000" w:usb1="00000000" w:usb2="0008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auto"/>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29E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F1DAC">
                          <w:pPr>
                            <w:pStyle w:val="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asciiTheme="majorEastAsia" w:hAnsiTheme="majorEastAsia" w:eastAsiaTheme="majorEastAsia" w:cstheme="majorEastAsia"/>
                              <w:sz w:val="24"/>
                              <w:szCs w:val="24"/>
                            </w:rPr>
                            <w:t>- 4 -</w:t>
                          </w:r>
                          <w:r>
                            <w:rPr>
                              <w:rFonts w:hint="eastAsia" w:asciiTheme="majorEastAsia" w:hAnsiTheme="majorEastAsia" w:eastAsiaTheme="majorEastAsia" w:cstheme="majorEastAsia"/>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BF1DAC">
                    <w:pPr>
                      <w:pStyle w:val="6"/>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asciiTheme="majorEastAsia" w:hAnsiTheme="majorEastAsia" w:eastAsiaTheme="majorEastAsia" w:cstheme="majorEastAsia"/>
                        <w:sz w:val="24"/>
                        <w:szCs w:val="24"/>
                      </w:rPr>
                      <w:t>- 4 -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67"/>
    <w:rsid w:val="000C4B8A"/>
    <w:rsid w:val="002172B5"/>
    <w:rsid w:val="002D3712"/>
    <w:rsid w:val="0037422D"/>
    <w:rsid w:val="003B0054"/>
    <w:rsid w:val="003C71E8"/>
    <w:rsid w:val="003E44E1"/>
    <w:rsid w:val="00513504"/>
    <w:rsid w:val="0058014A"/>
    <w:rsid w:val="005B26A5"/>
    <w:rsid w:val="007236A8"/>
    <w:rsid w:val="007B3DA2"/>
    <w:rsid w:val="009557EC"/>
    <w:rsid w:val="009E7167"/>
    <w:rsid w:val="00AD2502"/>
    <w:rsid w:val="00AE05ED"/>
    <w:rsid w:val="00DD6227"/>
    <w:rsid w:val="00ED2CE1"/>
    <w:rsid w:val="0C18237D"/>
    <w:rsid w:val="259044CE"/>
    <w:rsid w:val="397B6E19"/>
    <w:rsid w:val="456E265C"/>
    <w:rsid w:val="5D9EE484"/>
    <w:rsid w:val="5F6E8B5E"/>
    <w:rsid w:val="6DFFCDEA"/>
    <w:rsid w:val="734DBF7A"/>
    <w:rsid w:val="7B966F88"/>
    <w:rsid w:val="7D252960"/>
    <w:rsid w:val="7DE7BDAF"/>
    <w:rsid w:val="D7DE246C"/>
    <w:rsid w:val="E95C016C"/>
    <w:rsid w:val="EDEFF855"/>
    <w:rsid w:val="F57CB69B"/>
    <w:rsid w:val="F7BEE6C9"/>
    <w:rsid w:val="FFBF5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rPr>
  </w:style>
  <w:style w:type="paragraph" w:styleId="5">
    <w:name w:val="Body Text"/>
    <w:basedOn w:val="1"/>
    <w:qFormat/>
    <w:uiPriority w:val="0"/>
    <w:pPr>
      <w:spacing w:after="140" w:line="276" w:lineRule="auto"/>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unhideWhenUsed/>
    <w:qFormat/>
    <w:uiPriority w:val="0"/>
    <w:pPr>
      <w:widowControl w:val="0"/>
      <w:ind w:left="420" w:hanging="420"/>
      <w:jc w:val="both"/>
    </w:pPr>
    <w:rPr>
      <w:rFonts w:ascii="Times New Roman" w:hAnsi="Times New Roman" w:eastAsia="宋体" w:cs="Times New Roman"/>
      <w:kern w:val="2"/>
      <w:sz w:val="21"/>
      <w:lang w:val="en-US" w:eastAsia="zh-CN" w:bidi="ar-SA"/>
    </w:rPr>
  </w:style>
  <w:style w:type="paragraph" w:styleId="9">
    <w:name w:val="Normal (Web)"/>
    <w:basedOn w:val="1"/>
    <w:qFormat/>
    <w:uiPriority w:val="99"/>
    <w:pPr>
      <w:suppressAutoHyphens/>
      <w:spacing w:before="100" w:beforeAutospacing="1" w:after="100" w:afterAutospacing="1"/>
      <w:jc w:val="left"/>
    </w:pPr>
    <w:rPr>
      <w:rFonts w:ascii="Times New Roman" w:hAnsi="Times New Roman" w:eastAsia="宋体" w:cs="Times New Roman"/>
      <w:kern w:val="0"/>
      <w:sz w:val="24"/>
      <w:szCs w:val="22"/>
    </w:rPr>
  </w:style>
  <w:style w:type="paragraph" w:styleId="10">
    <w:name w:val="Body Text First Indent 2"/>
    <w:next w:val="8"/>
    <w:unhideWhenUsed/>
    <w:qFormat/>
    <w:uiPriority w:val="0"/>
    <w:pPr>
      <w:widowControl w:val="0"/>
      <w:spacing w:after="120"/>
      <w:ind w:left="420" w:leftChars="200" w:firstLine="420" w:firstLineChars="200"/>
      <w:jc w:val="both"/>
    </w:pPr>
    <w:rPr>
      <w:rFonts w:ascii="Times New Roman" w:hAnsi="Times New Roman" w:eastAsia="宋体" w:cs="Times New Roman"/>
      <w:kern w:val="2"/>
      <w:sz w:val="21"/>
      <w:lang w:val="en-US" w:eastAsia="zh-CN" w:bidi="ar-SA"/>
    </w:rPr>
  </w:style>
  <w:style w:type="character" w:styleId="13">
    <w:name w:val="Strong"/>
    <w:basedOn w:val="12"/>
    <w:qFormat/>
    <w:uiPriority w:val="22"/>
    <w:rPr>
      <w:rFonts w:ascii="Times New Roman" w:hAnsi="Times New Roman" w:eastAsia="宋体" w:cs="Times New Roman"/>
      <w:b/>
      <w:bCs/>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Normal]"/>
    <w:qFormat/>
    <w:uiPriority w:val="0"/>
    <w:rPr>
      <w:rFonts w:ascii="宋体" w:hAnsi="方正兰亭黑_GBK"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1902</Words>
  <Characters>1925</Characters>
  <Lines>15</Lines>
  <Paragraphs>4</Paragraphs>
  <TotalTime>15</TotalTime>
  <ScaleCrop>false</ScaleCrop>
  <LinksUpToDate>false</LinksUpToDate>
  <CharactersWithSpaces>1927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2022-12-15T12:50:00Z</dcterms:created>
  <dc:creator>Administrator</dc:creator>
  <cp:lastModifiedBy> 安 然</cp:lastModifiedBy>
  <cp:lastPrinted>2023-05-31T02:05:00Z</cp:lastPrinted>
  <dcterms:modified xsi:type="dcterms:W3CDTF">2025-12-19T01:33:32Z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eyJoZGlkIjoiYTJlNWNjNTdmMmRmZWQ4NDZjZjcwMTg4NjVmNjg0MzAiLCJ1c2VySWQiOiI5NjExMDk3ODgifQ==</vt:lpwstr>
  </property>
  <property fmtid="{D5CDD505-2E9C-101B-9397-08002B2CF9AE}" pid="4" name="ICV">
    <vt:lpwstr>F866242B07F946C98E4256B5CF345097_12</vt:lpwstr>
  </property>
</Properties>
</file>