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7"/>
        <w:widowControl/>
        <w:shd w:val="clear" w:color="auto" w:fill="FFFFFF"/>
        <w:spacing w:line="600" w:lineRule="exact"/>
        <w:jc w:val="center"/>
        <w:rPr>
          <w:rStyle w:val="10"/>
          <w:rFonts w:ascii="Times New Roman" w:hAnsi="Times New Roman" w:eastAsia="方正小标宋_GBK"/>
          <w:b w:val="0"/>
          <w:bCs/>
          <w:sz w:val="44"/>
          <w:szCs w:val="44"/>
          <w:shd w:val="clear" w:color="auto" w:fill="FFFFFF"/>
        </w:rPr>
      </w:pPr>
      <w:r>
        <w:rPr>
          <w:rFonts w:ascii="Times New Roman" w:hAnsi="方正小标宋_GBK" w:eastAsia="方正小标宋_GBK"/>
          <w:b w:val="0"/>
          <w:bCs/>
          <w:spacing w:val="3"/>
          <w:sz w:val="44"/>
          <w:szCs w:val="44"/>
          <w:shd w:val="clear" w:color="auto" w:fill="FFFFFF"/>
        </w:rPr>
        <w:t>关于印发《淮北市科技专家库管理办法》的</w:t>
      </w:r>
    </w:p>
    <w:p>
      <w:pPr>
        <w:pStyle w:val="7"/>
        <w:widowControl/>
        <w:shd w:val="clear" w:color="auto" w:fill="FFFFFF"/>
        <w:spacing w:line="600" w:lineRule="exact"/>
        <w:jc w:val="center"/>
        <w:rPr>
          <w:rStyle w:val="10"/>
          <w:rFonts w:ascii="Times New Roman" w:hAnsi="Times New Roman" w:eastAsia="方正小标宋_GBK"/>
          <w:b w:val="0"/>
          <w:bCs/>
          <w:sz w:val="44"/>
          <w:szCs w:val="44"/>
          <w:shd w:val="clear" w:color="auto" w:fill="FFFFFF"/>
        </w:rPr>
      </w:pPr>
      <w:r>
        <w:rPr>
          <w:rStyle w:val="10"/>
          <w:rFonts w:ascii="Times New Roman" w:hAnsi="方正小标宋_GBK" w:eastAsia="方正小标宋_GBK"/>
          <w:b w:val="0"/>
          <w:bCs/>
          <w:sz w:val="44"/>
          <w:szCs w:val="44"/>
          <w:shd w:val="clear" w:color="auto" w:fill="FFFFFF"/>
        </w:rPr>
        <w:t>通知</w:t>
      </w:r>
    </w:p>
    <w:p>
      <w:pPr>
        <w:pStyle w:val="7"/>
        <w:widowControl/>
        <w:shd w:val="clear" w:color="auto" w:fill="FFFFFF"/>
        <w:spacing w:line="600" w:lineRule="exact"/>
        <w:jc w:val="center"/>
        <w:rPr>
          <w:rStyle w:val="10"/>
          <w:rFonts w:ascii="Times New Roman" w:hAnsi="Times New Roman" w:eastAsia="方正仿宋_GBK"/>
          <w:b w:val="0"/>
          <w:bCs/>
          <w:sz w:val="44"/>
          <w:szCs w:val="44"/>
          <w:shd w:val="clear" w:color="auto" w:fill="FFFFFF"/>
        </w:rPr>
      </w:pPr>
      <w:r>
        <w:rPr>
          <w:rFonts w:ascii="Times New Roman" w:hAnsi="方正仿宋_GBK" w:eastAsia="方正仿宋_GBK"/>
          <w:b w:val="0"/>
          <w:bCs/>
          <w:color w:val="000000"/>
          <w:sz w:val="32"/>
        </w:rPr>
        <w:t>淮科</w:t>
      </w:r>
      <w:r>
        <w:rPr>
          <w:rFonts w:ascii="Times New Roman" w:hAnsi="Times New Roman" w:eastAsia="方正仿宋_GBK"/>
          <w:b w:val="0"/>
          <w:bCs/>
          <w:color w:val="000000"/>
          <w:sz w:val="32"/>
        </w:rPr>
        <w:t>〔2023〕3号</w:t>
      </w:r>
    </w:p>
    <w:p>
      <w:pPr>
        <w:pStyle w:val="7"/>
        <w:widowControl/>
        <w:shd w:val="clear" w:color="auto" w:fill="FFFFFF"/>
        <w:spacing w:line="590" w:lineRule="exact"/>
        <w:ind w:firstLine="1134"/>
        <w:rPr>
          <w:rStyle w:val="10"/>
          <w:rFonts w:ascii="Times New Roman" w:hAnsi="Times New Roman" w:eastAsia="仿宋_GB2312"/>
          <w:b/>
          <w:bCs/>
          <w:sz w:val="32"/>
          <w:shd w:val="clear" w:color="auto" w:fill="FFFFFF"/>
        </w:rPr>
      </w:pPr>
    </w:p>
    <w:p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各县区（园区）科技局、局各科室、各局属事业单位：</w:t>
      </w:r>
    </w:p>
    <w:p>
      <w:pPr>
        <w:tabs>
          <w:tab w:val="left" w:pos="7665"/>
          <w:tab w:val="left" w:pos="7980"/>
        </w:tabs>
        <w:spacing w:line="590" w:lineRule="exact"/>
        <w:ind w:firstLine="640" w:firstLineChars="200"/>
        <w:rPr>
          <w:rStyle w:val="10"/>
          <w:rFonts w:ascii="Times New Roman" w:hAnsi="Times New Roman" w:eastAsia="方正仿宋_GBK" w:cs="Times New Roman"/>
          <w:bCs/>
          <w:sz w:val="32"/>
          <w:shd w:val="clear" w:color="auto" w:fill="FFFFFF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《淮北市科技专家库管理办法》经2023年2月6日市科技局局长办公会讨论通过，现印发你们，请遵照执行。</w:t>
      </w:r>
    </w:p>
    <w:p>
      <w:pPr>
        <w:pStyle w:val="7"/>
        <w:widowControl/>
        <w:shd w:val="clear" w:color="auto" w:fill="FFFFFF"/>
        <w:spacing w:line="590" w:lineRule="exact"/>
        <w:rPr>
          <w:rStyle w:val="10"/>
          <w:rFonts w:ascii="Times New Roman" w:hAnsi="Times New Roman" w:eastAsia="方正仿宋_GBK"/>
          <w:b/>
          <w:bCs/>
          <w:sz w:val="32"/>
          <w:shd w:val="clear" w:color="auto" w:fill="FFFFFF"/>
        </w:rPr>
      </w:pPr>
    </w:p>
    <w:p>
      <w:pPr>
        <w:pStyle w:val="7"/>
        <w:widowControl/>
        <w:shd w:val="clear" w:color="auto" w:fill="FFFFFF"/>
        <w:spacing w:line="590" w:lineRule="exact"/>
        <w:rPr>
          <w:rStyle w:val="10"/>
          <w:rFonts w:ascii="Times New Roman" w:hAnsi="Times New Roman" w:eastAsia="方正仿宋_GBK"/>
          <w:b/>
          <w:bCs/>
          <w:sz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tabs>
          <w:tab w:val="left" w:pos="7371"/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right"/>
        <w:textAlignment w:val="auto"/>
        <w:rPr>
          <w:rStyle w:val="10"/>
          <w:rFonts w:ascii="Times New Roman" w:hAnsi="Times New Roman" w:eastAsia="方正仿宋_GBK"/>
          <w:b w:val="0"/>
          <w:bCs/>
          <w:sz w:val="32"/>
          <w:shd w:val="clear" w:color="auto" w:fill="FFFFFF"/>
        </w:rPr>
      </w:pPr>
      <w:r>
        <w:rPr>
          <w:rStyle w:val="10"/>
          <w:rFonts w:ascii="Times New Roman" w:hAnsi="Times New Roman" w:eastAsia="方正仿宋_GBK"/>
          <w:b w:val="0"/>
          <w:bCs/>
          <w:sz w:val="32"/>
          <w:shd w:val="clear" w:color="auto" w:fill="FFFFFF"/>
        </w:rPr>
        <w:t>淮北市科学技术局</w:t>
      </w:r>
    </w:p>
    <w:p>
      <w:pPr>
        <w:keepNext w:val="0"/>
        <w:keepLines w:val="0"/>
        <w:pageBreakBefore w:val="0"/>
        <w:widowControl w:val="0"/>
        <w:tabs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right"/>
        <w:textAlignment w:val="auto"/>
        <w:rPr>
          <w:rFonts w:ascii="Times New Roman" w:hAnsi="Times New Roman" w:eastAsia="方正仿宋_GBK" w:cs="Times New Roman"/>
          <w:b/>
          <w:color w:val="000000"/>
          <w:sz w:val="32"/>
        </w:rPr>
      </w:pPr>
      <w:r>
        <w:rPr>
          <w:rStyle w:val="10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>2023年2月10日</w:t>
      </w:r>
    </w:p>
    <w:p>
      <w:pPr>
        <w:snapToGrid w:val="0"/>
        <w:spacing w:line="590" w:lineRule="exact"/>
        <w:ind w:firstLine="40" w:firstLineChars="200"/>
        <w:rPr>
          <w:rFonts w:ascii="Times New Roman" w:hAnsi="Times New Roman" w:eastAsia="仿宋_GB2312" w:cs="Times New Roman"/>
          <w:color w:val="000000"/>
          <w:sz w:val="2"/>
          <w:szCs w:val="2"/>
        </w:rPr>
      </w:pPr>
    </w:p>
    <w:p>
      <w:pPr>
        <w:snapToGrid w:val="0"/>
        <w:spacing w:line="590" w:lineRule="exact"/>
        <w:ind w:firstLine="40" w:firstLineChars="200"/>
        <w:rPr>
          <w:rFonts w:ascii="Times New Roman" w:hAnsi="Times New Roman" w:eastAsia="仿宋_GB2312" w:cs="Times New Roman"/>
          <w:color w:val="000000"/>
          <w:sz w:val="2"/>
          <w:szCs w:val="2"/>
        </w:rPr>
      </w:pPr>
    </w:p>
    <w:p>
      <w:pPr>
        <w:snapToGrid w:val="0"/>
        <w:spacing w:line="590" w:lineRule="exact"/>
        <w:ind w:firstLine="40" w:firstLineChars="200"/>
        <w:rPr>
          <w:rFonts w:ascii="Times New Roman" w:hAnsi="Times New Roman" w:eastAsia="仿宋_GB2312" w:cs="Times New Roman"/>
          <w:color w:val="000000"/>
          <w:sz w:val="2"/>
          <w:szCs w:val="2"/>
        </w:rPr>
      </w:pPr>
    </w:p>
    <w:p>
      <w:pPr>
        <w:tabs>
          <w:tab w:val="left" w:pos="7140"/>
        </w:tabs>
        <w:snapToGrid w:val="0"/>
        <w:spacing w:line="590" w:lineRule="exact"/>
        <w:ind w:firstLine="40" w:firstLineChars="200"/>
        <w:rPr>
          <w:rFonts w:ascii="Times New Roman" w:hAnsi="Times New Roman" w:eastAsia="仿宋_GB2312" w:cs="Times New Roman"/>
          <w:color w:val="000000"/>
          <w:sz w:val="2"/>
          <w:szCs w:val="2"/>
        </w:rPr>
      </w:pPr>
    </w:p>
    <w:p>
      <w:pPr>
        <w:snapToGrid w:val="0"/>
        <w:spacing w:line="590" w:lineRule="exact"/>
        <w:ind w:firstLine="40" w:firstLineChars="200"/>
        <w:rPr>
          <w:rFonts w:ascii="Times New Roman" w:hAnsi="Times New Roman" w:eastAsia="仿宋_GB2312" w:cs="Times New Roman"/>
          <w:color w:val="000000"/>
          <w:sz w:val="2"/>
          <w:szCs w:val="2"/>
        </w:rPr>
      </w:pPr>
    </w:p>
    <w:p>
      <w:pPr>
        <w:snapToGrid w:val="0"/>
        <w:spacing w:line="590" w:lineRule="exact"/>
        <w:ind w:firstLine="40" w:firstLineChars="200"/>
        <w:rPr>
          <w:rFonts w:ascii="Times New Roman" w:hAnsi="Times New Roman" w:eastAsia="仿宋_GB2312" w:cs="Times New Roman"/>
          <w:color w:val="000000"/>
          <w:sz w:val="2"/>
          <w:szCs w:val="2"/>
        </w:rPr>
      </w:pPr>
    </w:p>
    <w:p>
      <w:pPr>
        <w:snapToGrid w:val="0"/>
        <w:spacing w:line="590" w:lineRule="exact"/>
        <w:ind w:firstLine="40" w:firstLineChars="200"/>
        <w:rPr>
          <w:rFonts w:ascii="Times New Roman" w:hAnsi="Times New Roman" w:eastAsia="仿宋_GB2312" w:cs="Times New Roman"/>
          <w:color w:val="000000"/>
          <w:sz w:val="2"/>
          <w:szCs w:val="2"/>
        </w:rPr>
      </w:pP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</w:p>
    <w:p>
      <w:pPr>
        <w:spacing w:line="59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淮北市科技专家库管理办法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暂行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第一条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为深化我市科技管理改革，完善专家的遴选和使用，提升科技专家库(简称专家库)的建设水平，充分发挥专家学者在我市科技管理和决策方面的重要作用，保障评审、评价、评估质量，根据《科学技术进步法》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《中共中央办公厅、国务院办公厅印发〈关于深化项目评审、人才评价、机构评估改革的意见&gt;的通知》( 中办发〔2018〕37号)、《安徽省深化项目评审、人才评价、机构评估改革实施方案》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厅〔2019〕38号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等文件精神，制定本办法。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第二条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专家库按照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广泛参加、统一建设、有序开发、管用分离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的原则建设和运行。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第三条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专家库集成各类高层次人才，服务于淮北市科技管理工作，是淮北市科技管理信息系统的重要组成部分。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通过专家库建设，积极鼓励引导市内外专家为淮北科技发展提供服务。</w:t>
      </w:r>
    </w:p>
    <w:p>
      <w:pPr>
        <w:tabs>
          <w:tab w:val="left" w:pos="7980"/>
        </w:tabs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第四条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专家库专家的主要职责是: 为我市科技创新发展提供智力支持和决策参考，包括进行科技计划项目和人才项目评审、评估验收、科技成果评价、科技奖励评审等。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第五条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淮北市科技局负责专家库建设的总体部署和统筹协</w:t>
      </w:r>
      <w:r>
        <w:rPr>
          <w:rFonts w:ascii="Times New Roman" w:hAnsi="方正仿宋_GBK" w:eastAsia="方正仿宋_GBK" w:cs="Times New Roman"/>
          <w:sz w:val="32"/>
          <w:szCs w:val="32"/>
        </w:rPr>
        <w:t>调，根据创新工作需要，不断丰富和完善专家库。局资源配置科为专家库的管理科室，主要负责专家入库、维护、退出。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第六条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入库专家分为产业技术类、战略管理类、金融及财务类三类。</w:t>
      </w:r>
    </w:p>
    <w:p>
      <w:pPr>
        <w:spacing w:line="59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b/>
          <w:bCs/>
          <w:sz w:val="32"/>
          <w:szCs w:val="32"/>
        </w:rPr>
        <w:t>产业技术类专家条件。</w:t>
      </w:r>
      <w:r>
        <w:rPr>
          <w:rFonts w:ascii="Times New Roman" w:hAnsi="方正仿宋_GBK" w:eastAsia="方正仿宋_GBK" w:cs="Times New Roman"/>
          <w:sz w:val="32"/>
          <w:szCs w:val="32"/>
        </w:rPr>
        <w:t>主要涵盖从事基础研究、技术研发、推广和产业创新等方面工作的专业技术人才。具体包括：高等院校教研人员、科研机构研究人员、重点科技企业从事科技开发人员等。</w:t>
      </w:r>
    </w:p>
    <w:p>
      <w:pPr>
        <w:spacing w:line="59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b/>
          <w:bCs/>
          <w:sz w:val="32"/>
          <w:szCs w:val="32"/>
        </w:rPr>
        <w:t>战略管理类专家条件。</w:t>
      </w:r>
      <w:r>
        <w:rPr>
          <w:rFonts w:ascii="Times New Roman" w:hAnsi="方正仿宋_GBK" w:eastAsia="方正仿宋_GBK" w:cs="Times New Roman"/>
          <w:sz w:val="32"/>
          <w:szCs w:val="32"/>
        </w:rPr>
        <w:t>主要涵盖从事规划、发展战略、政策研究、决策咨询、行政管理、企业战略管理、项目管理、科技伦理治理等方面工作，熟悉国家、省、市科技创新政策和规划的管理人才。具体包括：智库或咨询公司高级管理人员或分析师；政府机关或事业单位、高等学校、科研院所高级行政管理人才；市级以上新型研发机构、重点实验室、工程技术研究中心、技术创新中心等创新平台的主要负责人或首席专家；科技类社会团体、产业技术创新战略联盟、行业协会学会的主要负责人；科技型上市公司、高新技术企业、省级以上高新技术产业开发区、农业科技园区、科技企业孵化器、众创空间等的高级管理人员；科普传播、创作或科普活动组织的科普基地负责人；从事知识产权管理、科技成果转移转化等工作的机构主要负责人。</w:t>
      </w:r>
    </w:p>
    <w:p>
      <w:pPr>
        <w:spacing w:line="59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b/>
          <w:bCs/>
          <w:sz w:val="32"/>
          <w:szCs w:val="32"/>
        </w:rPr>
        <w:t>金融及财务类专家条件。</w:t>
      </w:r>
      <w:r>
        <w:rPr>
          <w:rFonts w:ascii="Times New Roman" w:hAnsi="方正仿宋_GBK" w:eastAsia="方正仿宋_GBK" w:cs="Times New Roman"/>
          <w:sz w:val="32"/>
          <w:szCs w:val="32"/>
        </w:rPr>
        <w:t>主要涵盖从事财务核算、审计的专业会计人员和资本市场、银行信贷、创业投资等金融机构的战略分析决策的管理人才。具体包括：熟悉科技经费审计的注册会计师；具有会计、审计、经济专业副高级以上专业技术职称，取得专业技术高级资格或水平证书，或取得中级职称并从事相关行业工作</w:t>
      </w:r>
      <w:r>
        <w:rPr>
          <w:rFonts w:ascii="Times New Roman" w:hAnsi="Times New Roman" w:eastAsia="方正仿宋_GBK" w:cs="Times New Roman"/>
          <w:sz w:val="32"/>
          <w:szCs w:val="32"/>
        </w:rPr>
        <w:t>5年以上；具备在银行、证券、股权、信托、保险、融资租赁、融资担保、资产管理、创业投资等金融机构5</w:t>
      </w:r>
      <w:r>
        <w:rPr>
          <w:rFonts w:ascii="Times New Roman" w:hAnsi="方正仿宋_GBK" w:eastAsia="方正仿宋_GBK" w:cs="Times New Roman"/>
          <w:sz w:val="32"/>
          <w:szCs w:val="32"/>
        </w:rPr>
        <w:t>年以上的创业投资、银行信贷或上市辅导工作经验。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第七条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入库专家应符合以下基本条件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: 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一）</w:t>
      </w:r>
      <w:r>
        <w:rPr>
          <w:rFonts w:ascii="Times New Roman" w:hAnsi="方正仿宋_GBK" w:eastAsia="方正仿宋_GBK" w:cs="Times New Roman"/>
          <w:sz w:val="32"/>
          <w:szCs w:val="32"/>
        </w:rPr>
        <w:t>具有良好的政治素养和职业道德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二）</w:t>
      </w:r>
      <w:r>
        <w:rPr>
          <w:rFonts w:ascii="Times New Roman" w:hAnsi="方正仿宋_GBK" w:eastAsia="方正仿宋_GBK" w:cs="Times New Roman"/>
          <w:sz w:val="32"/>
          <w:szCs w:val="32"/>
        </w:rPr>
        <w:t>具备参加评审评估评价工作的业务能力，能够独立、客观、公正、实事求是提出意见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三）</w:t>
      </w:r>
      <w:r>
        <w:rPr>
          <w:rFonts w:ascii="Times New Roman" w:hAnsi="方正仿宋_GBK" w:eastAsia="方正仿宋_GBK" w:cs="Times New Roman"/>
          <w:sz w:val="32"/>
          <w:szCs w:val="32"/>
        </w:rPr>
        <w:t>从事所属行业领域工作</w:t>
      </w:r>
      <w:r>
        <w:rPr>
          <w:rFonts w:ascii="Times New Roman" w:hAnsi="Times New Roman" w:eastAsia="方正仿宋_GBK" w:cs="Times New Roman"/>
          <w:sz w:val="32"/>
          <w:szCs w:val="32"/>
        </w:rPr>
        <w:t>满5</w:t>
      </w:r>
      <w:r>
        <w:rPr>
          <w:rFonts w:ascii="Times New Roman" w:hAnsi="方正仿宋_GBK" w:eastAsia="方正仿宋_GBK" w:cs="Times New Roman"/>
          <w:sz w:val="32"/>
          <w:szCs w:val="32"/>
        </w:rPr>
        <w:t>年以上，对本行业有较丰富的理论知识和实践经验，熟悉专业领域国内外技术、金融等发展状况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四）</w:t>
      </w:r>
      <w:r>
        <w:rPr>
          <w:rFonts w:ascii="Times New Roman" w:hAnsi="方正仿宋_GBK" w:eastAsia="方正仿宋_GBK" w:cs="Times New Roman"/>
          <w:sz w:val="32"/>
          <w:szCs w:val="32"/>
        </w:rPr>
        <w:t>专业技术类专家应具有副高级及以上职称或硕士及以上学位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</w:t>
      </w:r>
      <w:r>
        <w:rPr>
          <w:rFonts w:ascii="Times New Roman" w:hAnsi="方正仿宋_GBK" w:eastAsia="方正仿宋_GBK" w:cs="Times New Roman"/>
          <w:sz w:val="32"/>
          <w:szCs w:val="32"/>
        </w:rPr>
        <w:t>身体健康，年龄原则上不超过</w:t>
      </w:r>
      <w:r>
        <w:rPr>
          <w:rFonts w:ascii="Times New Roman" w:hAnsi="Times New Roman" w:eastAsia="方正仿宋_GBK" w:cs="Times New Roman"/>
          <w:sz w:val="32"/>
          <w:szCs w:val="32"/>
        </w:rPr>
        <w:t>65</w:t>
      </w:r>
      <w:r>
        <w:rPr>
          <w:rFonts w:ascii="Times New Roman" w:hAnsi="方正仿宋_GBK" w:eastAsia="方正仿宋_GBK" w:cs="Times New Roman"/>
          <w:sz w:val="32"/>
          <w:szCs w:val="32"/>
        </w:rPr>
        <w:t>周岁。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（六）</w:t>
      </w:r>
      <w:r>
        <w:rPr>
          <w:rFonts w:ascii="Times New Roman" w:hAnsi="方正仿宋_GBK" w:eastAsia="方正仿宋_GBK" w:cs="Times New Roman"/>
          <w:sz w:val="32"/>
          <w:szCs w:val="32"/>
        </w:rPr>
        <w:t>以下情形可适当放宽相关条件</w:t>
      </w:r>
      <w:r>
        <w:rPr>
          <w:rFonts w:ascii="Times New Roman" w:hAnsi="Times New Roman" w:eastAsia="方正仿宋_GBK" w:cs="Times New Roman"/>
          <w:sz w:val="32"/>
          <w:szCs w:val="32"/>
        </w:rPr>
        <w:t>: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硕、博导师、享受国务院或省政府特殊津贴的专家、学者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研究成果突出的优秀学者、外籍专家、科技型上市公司、国家高新技术企业、技术领先型企业的技术骨干，或承担过国家、省部级科技计划课题，国家、省部级科技奖励获得者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具有丰富企业管理或创业实践经验，或对成果转化、产业发展有突出贡献的人员。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第八条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专家的选取。按照公开征集、审查与公示的流程选取专家。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公开征集。</w:t>
      </w:r>
      <w:r>
        <w:rPr>
          <w:rFonts w:ascii="Times New Roman" w:hAnsi="方正仿宋_GBK" w:eastAsia="方正仿宋_GBK" w:cs="Times New Roman"/>
          <w:sz w:val="32"/>
          <w:szCs w:val="32"/>
        </w:rPr>
        <w:t>采取个人申请、专家推荐和邀请入库三种方式征集。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个人申请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: </w:t>
      </w:r>
      <w:r>
        <w:rPr>
          <w:rFonts w:ascii="Times New Roman" w:hAnsi="方正仿宋_GBK" w:eastAsia="方正仿宋_GBK" w:cs="Times New Roman"/>
          <w:sz w:val="32"/>
          <w:szCs w:val="32"/>
        </w:rPr>
        <w:t>专家本人可按要求申请进入专家库，经所属单位审核后向市科技局推荐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专家推荐</w:t>
      </w:r>
      <w:r>
        <w:rPr>
          <w:rFonts w:ascii="Times New Roman" w:hAnsi="Times New Roman" w:eastAsia="方正仿宋_GBK" w:cs="Times New Roman"/>
          <w:sz w:val="32"/>
          <w:szCs w:val="32"/>
        </w:rPr>
        <w:t>:</w:t>
      </w:r>
      <w:r>
        <w:rPr>
          <w:rFonts w:ascii="Times New Roman" w:hAnsi="方正仿宋_GBK" w:eastAsia="方正仿宋_GBK" w:cs="Times New Roman"/>
          <w:sz w:val="32"/>
          <w:szCs w:val="32"/>
        </w:rPr>
        <w:t>在库专家两人以上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方正仿宋_GBK" w:eastAsia="方正仿宋_GBK" w:cs="Times New Roman"/>
          <w:sz w:val="32"/>
          <w:szCs w:val="32"/>
        </w:rPr>
        <w:t>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方正仿宋_GBK" w:eastAsia="方正仿宋_GBK" w:cs="Times New Roman"/>
          <w:sz w:val="32"/>
          <w:szCs w:val="32"/>
        </w:rPr>
        <w:t>可联合推荐符合条件的人选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邀请入库</w:t>
      </w:r>
      <w:r>
        <w:rPr>
          <w:rFonts w:ascii="Times New Roman" w:hAnsi="Times New Roman" w:eastAsia="方正仿宋_GBK" w:cs="Times New Roman"/>
          <w:sz w:val="32"/>
          <w:szCs w:val="32"/>
        </w:rPr>
        <w:t>:</w:t>
      </w:r>
      <w:r>
        <w:rPr>
          <w:rFonts w:ascii="Times New Roman" w:hAnsi="方正仿宋_GBK" w:eastAsia="方正仿宋_GBK" w:cs="Times New Roman"/>
          <w:sz w:val="32"/>
          <w:szCs w:val="32"/>
        </w:rPr>
        <w:t>各类高层次人才引进计划入选者、国家及省科技进步奖励的项目负责人、党政机关在某项专业领域有特长人员等，经市科技局对口业务科室邀请、本人同意后，可直接进入专家库。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参加公开征集的专家应当填写《专家申请表》，如实填报个人信息，包括在企业兼职、承担技术咨询、从事技术合作等情况，并提供学历证书、专业技术职称、职业资格证书及个人研究成果等相关材料。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二）</w:t>
      </w:r>
      <w:bookmarkStart w:id="0" w:name="_GoBack"/>
      <w:r>
        <w:rPr>
          <w:rFonts w:hint="eastAsia" w:ascii="方正楷体_GBK" w:hAnsi="方正楷体_GBK" w:eastAsia="方正楷体_GBK" w:cs="方正楷体_GBK"/>
          <w:sz w:val="32"/>
          <w:szCs w:val="32"/>
        </w:rPr>
        <w:t>审核</w:t>
      </w:r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与公示。</w:t>
      </w:r>
      <w:r>
        <w:rPr>
          <w:rFonts w:ascii="Times New Roman" w:hAnsi="方正仿宋_GBK" w:eastAsia="方正仿宋_GBK" w:cs="Times New Roman"/>
          <w:sz w:val="32"/>
          <w:szCs w:val="32"/>
        </w:rPr>
        <w:t>由市科技局组织对专家库申报人选进行审核，审核通过后在市科技局网站公示不少于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方正仿宋_GBK" w:eastAsia="方正仿宋_GBK" w:cs="Times New Roman"/>
          <w:sz w:val="32"/>
          <w:szCs w:val="32"/>
        </w:rPr>
        <w:t>个工作日，无异议后，专家方可入库。对公示期间有异议的专家开展复审，确保入库的专家符合要求。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第九条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库实行个人信息定期更新机制。市科技局每年集中组织一次专家信息更新，通过短信、邮件等方式通知在库专家确认信息变更情况。除定期更新外，专家信息发生变化的，本人应当及时上报，连续两年未对本人信息进行确认或更新的，专家资格将被冻结。资格被冻结的专家，经个人重新申请、市科技局核实后，视情解除冻结状态。开展科技活动时，参与人员负有责任和义务保障专家信息的安全，严禁私自复制、泄露专家库中的信息和资料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第十条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专家库的动态调整。市科技局根据专家的年龄、健康、工作变动等情况对专家库进行动态调整。专家主动申请退出专家库的，经市科技局审核同意后，予以退出。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第十一条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专家的抽取、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使用、监督施行岗位分离。进行科技活动所需专家从专家库中产生，由资源配置科牵头，相关业务科室配合，局党总支纪检监督，根据具体工作要求，随机抽取专家。具体程序如下</w:t>
      </w:r>
      <w:r>
        <w:rPr>
          <w:rFonts w:ascii="Times New Roman" w:hAnsi="Times New Roman" w:eastAsia="方正仿宋_GBK" w:cs="Times New Roman"/>
          <w:sz w:val="32"/>
          <w:szCs w:val="32"/>
        </w:rPr>
        <w:t>: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各业务科室根据工作实际，至少提前3个工作日向资源配置科提交专家需求，包括专业领域、数量等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资源配</w:t>
      </w:r>
      <w:r>
        <w:rPr>
          <w:rFonts w:ascii="Times New Roman" w:hAnsi="方正仿宋_GBK" w:eastAsia="方正仿宋_GBK" w:cs="Times New Roman"/>
          <w:sz w:val="32"/>
          <w:szCs w:val="32"/>
        </w:rPr>
        <w:t>置科按照申请，对应所需专业领域，至少扩大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方正仿宋_GBK" w:eastAsia="方正仿宋_GBK" w:cs="Times New Roman"/>
          <w:sz w:val="32"/>
          <w:szCs w:val="32"/>
        </w:rPr>
        <w:t>倍人数，从专家库中筛选适宜参加评审活动的初步专家人员名单，经纪检工作人员随机确定最终专家人员名单后，交业务科室通知专家参加科技活动。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活动结束后，将最终参与的专家人员名单反馈给资源配置科，由资源配置科存档计数。抽取全程需严格保密，接受市纪委监委驻环保局纪检监察组监督，并记录备案。涉及科技计划项目评审，市级重大专项、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方正仿宋_GBK" w:eastAsia="方正仿宋_GBK" w:cs="Times New Roman"/>
          <w:sz w:val="32"/>
          <w:szCs w:val="32"/>
        </w:rPr>
        <w:t>揭榜挂帅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方正仿宋_GBK" w:eastAsia="方正仿宋_GBK" w:cs="Times New Roman"/>
          <w:sz w:val="32"/>
          <w:szCs w:val="32"/>
        </w:rPr>
        <w:t>项目评审，原则上外地专家应占评审专家总数的</w:t>
      </w:r>
      <w:r>
        <w:rPr>
          <w:rFonts w:ascii="Times New Roman" w:hAnsi="Times New Roman" w:eastAsia="方正仿宋_GBK" w:cs="Times New Roman"/>
          <w:sz w:val="32"/>
          <w:szCs w:val="32"/>
        </w:rPr>
        <w:t>50%以上，可在专家库中外地专家中抽取，也可以委托省厅从省级专家库中抽取；重点研发项目，原则上外地专家应占评审专家总数的20%以上</w:t>
      </w:r>
      <w:r>
        <w:rPr>
          <w:rFonts w:ascii="Times New Roman" w:hAnsi="方正仿宋_GBK" w:eastAsia="方正仿宋_GBK" w:cs="Times New Roman"/>
          <w:sz w:val="32"/>
          <w:szCs w:val="32"/>
        </w:rPr>
        <w:t>，如不能满足科技活动需要，也可委托专家所在地科技管理部门推荐的方式产生。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第十二条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专家抽取坚持轮换原则。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每位专家每年参与评审项目不超过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方正仿宋_GBK" w:eastAsia="方正仿宋_GBK" w:cs="Times New Roman"/>
          <w:sz w:val="32"/>
          <w:szCs w:val="32"/>
        </w:rPr>
        <w:t>次，尽量避免同一专家重复多次参加各类评审活动。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第十三条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专家抽取和专家本人遵循回避原则。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各相关业务科室在提出专家需求时，将需要回避的单位信息一并提供，在专家抽取时尽量不抽取项目申报单位的专家。确因某项评审活动涉及单位较多，客观造成难以全部回避时，专家在参加评审过程中，遇到与本人有直接关系的项目应当主动回避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具有以下情形之一的，专家应当主动申请回避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: 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一）</w:t>
      </w:r>
      <w:r>
        <w:rPr>
          <w:rFonts w:ascii="Times New Roman" w:hAnsi="方正仿宋_GBK" w:eastAsia="方正仿宋_GBK" w:cs="Times New Roman"/>
          <w:sz w:val="32"/>
          <w:szCs w:val="32"/>
        </w:rPr>
        <w:t>被评审项目的负责人或参与人员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二）</w:t>
      </w:r>
      <w:r>
        <w:rPr>
          <w:rFonts w:ascii="Times New Roman" w:hAnsi="方正仿宋_GBK" w:eastAsia="方正仿宋_GBK" w:cs="Times New Roman"/>
          <w:sz w:val="32"/>
          <w:szCs w:val="32"/>
        </w:rPr>
        <w:t>被评审项目负责人或参与人员为其配偶或直系亲属，或者与被评审项目负责人有近亲属关系、师生关系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方正仿宋_GBK" w:eastAsia="方正仿宋_GBK" w:cs="Times New Roman"/>
          <w:sz w:val="32"/>
          <w:szCs w:val="32"/>
        </w:rPr>
        <w:t>硕士、博士期间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三）</w:t>
      </w:r>
      <w:r>
        <w:rPr>
          <w:rFonts w:ascii="Times New Roman" w:hAnsi="Times New Roman" w:eastAsia="方正仿宋_GBK" w:cs="Times New Roman"/>
          <w:sz w:val="32"/>
          <w:szCs w:val="32"/>
        </w:rPr>
        <w:t>24个月内与被评审项目单位有过聘用关系，包括担任该单位的咨询</w:t>
      </w:r>
      <w:r>
        <w:rPr>
          <w:rFonts w:ascii="Times New Roman" w:hAnsi="方正仿宋_GBK" w:eastAsia="方正仿宋_GBK" w:cs="Times New Roman"/>
          <w:sz w:val="32"/>
          <w:szCs w:val="32"/>
        </w:rPr>
        <w:t>或顾问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四）</w:t>
      </w:r>
      <w:r>
        <w:rPr>
          <w:rFonts w:ascii="Times New Roman" w:hAnsi="方正仿宋_GBK" w:eastAsia="方正仿宋_GBK" w:cs="Times New Roman"/>
          <w:sz w:val="32"/>
          <w:szCs w:val="32"/>
        </w:rPr>
        <w:t>与被评审项目申报单位或负责人存在重大利益关系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五）</w:t>
      </w:r>
      <w:r>
        <w:rPr>
          <w:rFonts w:ascii="Times New Roman" w:hAnsi="方正仿宋_GBK" w:eastAsia="方正仿宋_GBK" w:cs="Times New Roman"/>
          <w:sz w:val="32"/>
          <w:szCs w:val="32"/>
        </w:rPr>
        <w:t>与评审项目有其他关系，可能影响公正评审的。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第十四条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专家享有下列权利</w:t>
      </w:r>
      <w:r>
        <w:rPr>
          <w:rFonts w:ascii="Times New Roman" w:hAnsi="Times New Roman" w:eastAsia="方正仿宋_GBK" w:cs="Times New Roman"/>
          <w:sz w:val="32"/>
          <w:szCs w:val="32"/>
        </w:rPr>
        <w:t>: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一）</w:t>
      </w:r>
      <w:r>
        <w:rPr>
          <w:rFonts w:ascii="Times New Roman" w:hAnsi="方正仿宋_GBK" w:eastAsia="方正仿宋_GBK" w:cs="Times New Roman"/>
          <w:sz w:val="32"/>
          <w:szCs w:val="32"/>
        </w:rPr>
        <w:t>接受邀请，参加各类科技活动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ascii="Times New Roman" w:hAnsi="方正仿宋_GBK" w:eastAsia="方正仿宋_GBK" w:cs="Times New Roman"/>
          <w:sz w:val="32"/>
          <w:szCs w:val="32"/>
        </w:rPr>
        <w:t>依法依规独立进行评审，提出咨询评价意见和建议时，不受任何单位和个人的干预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ascii="Times New Roman" w:hAnsi="方正仿宋_GBK" w:eastAsia="方正仿宋_GBK" w:cs="Times New Roman"/>
          <w:sz w:val="32"/>
          <w:szCs w:val="32"/>
        </w:rPr>
        <w:t>对不适宜参加的活动可以申明并向市科技局说明原因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四）</w:t>
      </w:r>
      <w:r>
        <w:rPr>
          <w:rFonts w:ascii="Times New Roman" w:hAnsi="方正仿宋_GBK" w:eastAsia="方正仿宋_GBK" w:cs="Times New Roman"/>
          <w:sz w:val="32"/>
          <w:szCs w:val="32"/>
        </w:rPr>
        <w:t>按淮北市有关规定，接受邀请单位支付的劳务报酬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五）</w:t>
      </w:r>
      <w:r>
        <w:rPr>
          <w:rFonts w:ascii="Times New Roman" w:hAnsi="方正仿宋_GBK" w:eastAsia="方正仿宋_GBK" w:cs="Times New Roman"/>
          <w:sz w:val="32"/>
          <w:szCs w:val="32"/>
        </w:rPr>
        <w:t>抵制和检举评审过程中违法违规行为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六）</w:t>
      </w:r>
      <w:r>
        <w:rPr>
          <w:rFonts w:ascii="Times New Roman" w:hAnsi="方正仿宋_GBK" w:eastAsia="方正仿宋_GBK" w:cs="Times New Roman"/>
          <w:sz w:val="32"/>
          <w:szCs w:val="32"/>
        </w:rPr>
        <w:t>法律法规规定的其他权利。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第十五条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专家应履行下列义务</w:t>
      </w:r>
      <w:r>
        <w:rPr>
          <w:rFonts w:ascii="Times New Roman" w:hAnsi="Times New Roman" w:eastAsia="方正仿宋_GBK" w:cs="Times New Roman"/>
          <w:sz w:val="32"/>
          <w:szCs w:val="32"/>
        </w:rPr>
        <w:t>: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一）</w:t>
      </w:r>
      <w:r>
        <w:rPr>
          <w:rFonts w:ascii="Times New Roman" w:hAnsi="方正仿宋_GBK" w:eastAsia="方正仿宋_GBK" w:cs="Times New Roman"/>
          <w:sz w:val="32"/>
          <w:szCs w:val="32"/>
        </w:rPr>
        <w:t>遵守职业道德，公正、公平、客观和科学地进行科技活动，并在入库前签署诚信承诺书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二）</w:t>
      </w:r>
      <w:r>
        <w:rPr>
          <w:rFonts w:ascii="Times New Roman" w:hAnsi="方正仿宋_GBK" w:eastAsia="方正仿宋_GBK" w:cs="Times New Roman"/>
          <w:sz w:val="32"/>
          <w:szCs w:val="32"/>
        </w:rPr>
        <w:t>遵守评审工作纪律，不得私下接触项目承担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方正仿宋_GBK" w:eastAsia="方正仿宋_GBK" w:cs="Times New Roman"/>
          <w:sz w:val="32"/>
          <w:szCs w:val="32"/>
        </w:rPr>
        <w:t>参与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方正仿宋_GBK" w:eastAsia="方正仿宋_GBK" w:cs="Times New Roman"/>
          <w:sz w:val="32"/>
          <w:szCs w:val="32"/>
        </w:rPr>
        <w:t>单位，不得收受项目承担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方正仿宋_GBK" w:eastAsia="方正仿宋_GBK" w:cs="Times New Roman"/>
          <w:sz w:val="32"/>
          <w:szCs w:val="32"/>
        </w:rPr>
        <w:t>参与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方正仿宋_GBK" w:eastAsia="方正仿宋_GBK" w:cs="Times New Roman"/>
          <w:sz w:val="32"/>
          <w:szCs w:val="32"/>
        </w:rPr>
        <w:t>单位、其他利害关系人的财物或其他好处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三）</w:t>
      </w:r>
      <w:r>
        <w:rPr>
          <w:rFonts w:ascii="Times New Roman" w:hAnsi="方正仿宋_GBK" w:eastAsia="方正仿宋_GBK" w:cs="Times New Roman"/>
          <w:sz w:val="32"/>
          <w:szCs w:val="32"/>
        </w:rPr>
        <w:t>参与各类科技活动时，自觉接受市科技局和相关纪检监察部门监督，对所提出的评价意见和建议承担个人责任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四）</w:t>
      </w:r>
      <w:r>
        <w:rPr>
          <w:rFonts w:ascii="Times New Roman" w:hAnsi="方正仿宋_GBK" w:eastAsia="方正仿宋_GBK" w:cs="Times New Roman"/>
          <w:sz w:val="32"/>
          <w:szCs w:val="32"/>
        </w:rPr>
        <w:t>评审期间严格通信管控，对评审过程严格保密，不得泄露评审文件、评审情况、评审结果和在评审过程中获悉的商业秘密和技术秘密，保护评审项目有关单位及个人的知识产权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五）</w:t>
      </w:r>
      <w:r>
        <w:rPr>
          <w:rFonts w:ascii="Times New Roman" w:hAnsi="方正仿宋_GBK" w:eastAsia="方正仿宋_GBK" w:cs="Times New Roman"/>
          <w:sz w:val="32"/>
          <w:szCs w:val="32"/>
        </w:rPr>
        <w:t>未经许可，不得以专家库专家的名义从事其他活动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六）</w:t>
      </w:r>
      <w:r>
        <w:rPr>
          <w:rFonts w:ascii="Times New Roman" w:hAnsi="方正仿宋_GBK" w:eastAsia="方正仿宋_GBK" w:cs="Times New Roman"/>
          <w:sz w:val="32"/>
          <w:szCs w:val="32"/>
        </w:rPr>
        <w:t>法律法规规定的其他义务。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第十六条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建立专家评价机制。由资源配置科牵头，具体承办科技活动的业务科室配合，在每次评审活动结束后，由具体承办科技活动的业务科室对专家的工作情况进行综合评价，填写专家综合评价表，提交局党总支纪检监察人员并报源配置科记录备案，评价结果将作为后续评审咨询活动专家选取的依据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第十七条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专家出现以下情形的，取消专家资格，直至依法追究法律责任</w:t>
      </w:r>
      <w:r>
        <w:rPr>
          <w:rFonts w:ascii="Times New Roman" w:hAnsi="Times New Roman" w:eastAsia="方正仿宋_GBK" w:cs="Times New Roman"/>
          <w:sz w:val="32"/>
          <w:szCs w:val="32"/>
        </w:rPr>
        <w:t>: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一）</w:t>
      </w:r>
      <w:r>
        <w:rPr>
          <w:rFonts w:ascii="Times New Roman" w:hAnsi="方正仿宋_GBK" w:eastAsia="方正仿宋_GBK" w:cs="Times New Roman"/>
          <w:sz w:val="32"/>
          <w:szCs w:val="32"/>
        </w:rPr>
        <w:t>不公正履行专家职责，为本人或他人谋取不正当利益的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二）</w:t>
      </w:r>
      <w:r>
        <w:rPr>
          <w:rFonts w:ascii="Times New Roman" w:hAnsi="方正仿宋_GBK" w:eastAsia="方正仿宋_GBK" w:cs="Times New Roman"/>
          <w:sz w:val="32"/>
          <w:szCs w:val="32"/>
        </w:rPr>
        <w:t>违反科学道德或品行不端，严重影响专家群体声誉的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三）</w:t>
      </w:r>
      <w:r>
        <w:rPr>
          <w:rFonts w:ascii="Times New Roman" w:hAnsi="方正仿宋_GBK" w:eastAsia="方正仿宋_GBK" w:cs="Times New Roman"/>
          <w:sz w:val="32"/>
          <w:szCs w:val="32"/>
        </w:rPr>
        <w:t>在评审咨询工作中存在舞弊、索贿受贿等违法违规以及其他不当行为的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四）</w:t>
      </w:r>
      <w:r>
        <w:rPr>
          <w:rFonts w:ascii="Times New Roman" w:hAnsi="方正仿宋_GBK" w:eastAsia="方正仿宋_GBK" w:cs="Times New Roman"/>
          <w:sz w:val="32"/>
          <w:szCs w:val="32"/>
        </w:rPr>
        <w:t>违反国家法律法规，危害国家利益或重大社会公共利益的</w:t>
      </w:r>
      <w:r>
        <w:rPr>
          <w:rFonts w:ascii="Times New Roman" w:hAnsi="Times New Roman" w:eastAsia="方正仿宋_GBK" w:cs="Times New Roman"/>
          <w:sz w:val="32"/>
          <w:szCs w:val="32"/>
        </w:rPr>
        <w:t>;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五）</w:t>
      </w:r>
      <w:r>
        <w:rPr>
          <w:rFonts w:ascii="Times New Roman" w:hAnsi="方正仿宋_GBK" w:eastAsia="方正仿宋_GBK" w:cs="Times New Roman"/>
          <w:sz w:val="32"/>
          <w:szCs w:val="32"/>
        </w:rPr>
        <w:t>其他需要取消专家资格的情形。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第十八条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参与相关科技活动的有关单位和个人应遵循管理要求，加强配合协调。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第十九条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本办法自印发之日起实行，有效期五年。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第二十条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本办法由市科技局负责解释。</w:t>
      </w:r>
    </w:p>
    <w:p>
      <w:pPr>
        <w:spacing w:line="590" w:lineRule="exact"/>
        <w:ind w:firstLine="220" w:firstLineChars="200"/>
        <w:jc w:val="center"/>
        <w:rPr>
          <w:rFonts w:ascii="Times New Roman" w:hAnsi="Times New Roman" w:cs="Times New Roman"/>
          <w:sz w:val="11"/>
          <w:szCs w:val="11"/>
        </w:rPr>
      </w:pPr>
    </w:p>
    <w:p>
      <w:pPr>
        <w:spacing w:line="590" w:lineRule="exact"/>
        <w:rPr>
          <w:rFonts w:ascii="Times New Roman" w:hAnsi="Times New Roman" w:cs="Times New Roman"/>
          <w:sz w:val="11"/>
          <w:szCs w:val="1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531" w:bottom="1191" w:left="1531" w:header="1418" w:footer="765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7469656"/>
                          </w:sdtPr>
                          <w:sdtContent>
                            <w:p>
                              <w:pPr>
                                <w:pStyle w:val="4"/>
                                <w:jc w:val="right"/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469656"/>
                    </w:sdtPr>
                    <w:sdtContent>
                      <w:p>
                        <w:pPr>
                          <w:pStyle w:val="4"/>
                          <w:jc w:val="right"/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121285</wp:posOffset>
              </wp:positionV>
              <wp:extent cx="5619750" cy="1905"/>
              <wp:effectExtent l="0" t="10795" r="0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5pt;margin-top:9.55pt;height:0.15pt;width:442.5pt;z-index:251660288;mso-width-relative:page;mso-height-relative:page;" filled="f" stroked="t" coordsize="21600,21600" o:gfxdata="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ACXlNMAAAAHAQAADwAAAAAAAAABACAAAAAiAAAA&#10;ZHJzL2Rvd25yZXYueG1sUEsBAhQAFAAAAAgAh07iQEIQkmjTAQAAdQMAAA4AAAAAAAAAAQAgAAAA&#10;IgEAAGRycy9lMm9Eb2MueG1sUEsFBgAAAAAGAAYAWQEAAGc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tabs>
        <w:tab w:val="left" w:pos="8190"/>
      </w:tabs>
      <w:kinsoku/>
      <w:wordWrap w:val="0"/>
      <w:overflowPunct/>
      <w:topLinePunct w:val="0"/>
      <w:autoSpaceDE/>
      <w:autoSpaceDN/>
      <w:bidi w:val="0"/>
      <w:adjustRightInd/>
      <w:snapToGrid w:val="0"/>
      <w:spacing w:before="0" w:beforeLines="70"/>
      <w:jc w:val="right"/>
      <w:textAlignment w:val="auto"/>
      <w:rPr>
        <w:rFonts w:eastAsia="宋体"/>
        <w:sz w:val="28"/>
        <w:szCs w:val="28"/>
      </w:rPr>
    </w:pPr>
    <w:r>
      <w:rPr>
        <w:rFonts w:hint="eastAsia" w:ascii="宋体" w:hAnsi="宋体" w:eastAsia="宋体" w:cs="宋体"/>
        <w:b/>
        <w:bCs/>
        <w:color w:val="005192"/>
        <w:sz w:val="28"/>
        <w:szCs w:val="28"/>
      </w:rPr>
      <w:t xml:space="preserve">淮北市科学技术局发布   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5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right="45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18 -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450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18 -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7469655"/>
    </w:sdtPr>
    <w:sdtContent>
      <w:p>
        <w:pPr>
          <w:pStyle w:val="4"/>
          <w:ind w:right="450"/>
          <w:rPr>
            <w:rFonts w:asciiTheme="minorEastAsia" w:hAnsiTheme="minorEastAsia"/>
            <w:sz w:val="28"/>
            <w:szCs w:val="28"/>
          </w:rPr>
        </w:pPr>
      </w:p>
      <w:p>
        <w:pPr>
          <w:pStyle w:val="4"/>
          <w:ind w:right="450"/>
          <w:rPr>
            <w:rFonts w:asciiTheme="minorEastAsia" w:hAnsiTheme="minorEastAsia"/>
            <w:sz w:val="28"/>
            <w:szCs w:val="28"/>
          </w:rPr>
        </w:pPr>
        <w: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161290</wp:posOffset>
                  </wp:positionV>
                  <wp:extent cx="5715000" cy="1905"/>
                  <wp:effectExtent l="0" t="10795" r="0" b="15875"/>
                  <wp:wrapNone/>
                  <wp:docPr id="3" name="直接连接符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16575" cy="1905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0051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直接连接符 5" o:spid="_x0000_s1026" o:spt="20" style="position:absolute;left:0pt;margin-left:-9pt;margin-top:12.7pt;height:0.15pt;width:450pt;z-index:251661312;mso-width-relative:page;mso-height-relative:page;" filled="f" stroked="t" coordsize="21600,21600" o:gfxdata="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NvRwjWAAAACQEAAA8AAAAAAAAAAQAgAAAA&#10;IgAAAGRycy9kb3ducmV2LnhtbFBLAQIUABQAAAAIAIdO4kBxOQ6Z1AEAAHUDAAAOAAAAAAAAAAEA&#10;IAAAACUBAABkcnMvZTJvRG9jLnhtbFBLBQYAAAAABgAGAFkBAABrBQAAAAA=&#10;">
                  <v:fill on="f" focussize="0,0"/>
                  <v:stroke weight="1.75pt" color="#005192" miterlimit="8" joinstyle="miter"/>
                  <v:imagedata o:title=""/>
                  <o:lock v:ext="edit" aspectratio="f"/>
                </v:line>
              </w:pict>
            </mc:Fallback>
          </mc:AlternateContent>
        </w:r>
      </w:p>
      <w:p>
        <w:pPr>
          <w:pStyle w:val="4"/>
          <w:tabs>
            <w:tab w:val="clear" w:pos="8306"/>
          </w:tabs>
          <w:ind w:right="-33" w:firstLine="5291" w:firstLineChars="1647"/>
        </w:pPr>
        <w:r>
          <w:rPr>
            <w:rFonts w:hint="eastAsia" w:ascii="宋体" w:hAnsi="宋体" w:eastAsia="宋体" w:cs="宋体"/>
            <w:b/>
            <w:bCs/>
            <w:color w:val="005192"/>
            <w:sz w:val="32"/>
            <w:szCs w:val="32"/>
          </w:rPr>
          <w:t>淮北市科学技术局发布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0070C0" w:sz="12" w:space="6"/>
      </w:pBdr>
      <w:spacing w:beforeLines="30"/>
      <w:ind w:firstLine="540" w:firstLineChars="300"/>
      <w:jc w:val="lef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4445</wp:posOffset>
          </wp:positionV>
          <wp:extent cx="312420" cy="312420"/>
          <wp:effectExtent l="19050" t="0" r="0" b="0"/>
          <wp:wrapTight wrapText="bothSides">
            <wp:wrapPolygon>
              <wp:start x="3951" y="0"/>
              <wp:lineTo x="-1317" y="10537"/>
              <wp:lineTo x="0" y="18439"/>
              <wp:lineTo x="18439" y="18439"/>
              <wp:lineTo x="19756" y="10537"/>
              <wp:lineTo x="19756" y="5268"/>
              <wp:lineTo x="15805" y="0"/>
              <wp:lineTo x="3951" y="0"/>
            </wp:wrapPolygon>
          </wp:wrapTight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淮北市科学技术局行政规范性文件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0070C0" w:sz="12" w:space="6"/>
      </w:pBdr>
      <w:spacing w:beforeLines="30"/>
      <w:ind w:firstLine="540" w:firstLineChars="300"/>
      <w:jc w:val="left"/>
    </w:pPr>
    <w:r>
      <w:rPr>
        <w:rFonts w:hint="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4445</wp:posOffset>
          </wp:positionV>
          <wp:extent cx="312420" cy="312420"/>
          <wp:effectExtent l="19050" t="0" r="0" b="0"/>
          <wp:wrapTight wrapText="bothSides">
            <wp:wrapPolygon>
              <wp:start x="3951" y="0"/>
              <wp:lineTo x="-1317" y="10537"/>
              <wp:lineTo x="0" y="18439"/>
              <wp:lineTo x="18439" y="18439"/>
              <wp:lineTo x="19756" y="10537"/>
              <wp:lineTo x="19756" y="5268"/>
              <wp:lineTo x="15805" y="0"/>
              <wp:lineTo x="3951" y="0"/>
            </wp:wrapPolygon>
          </wp:wrapTight>
          <wp:docPr id="1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淮北市科学技术局行政规范性文件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16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1F"/>
    <w:rsid w:val="000054FB"/>
    <w:rsid w:val="0001436D"/>
    <w:rsid w:val="00033015"/>
    <w:rsid w:val="00045601"/>
    <w:rsid w:val="00062C75"/>
    <w:rsid w:val="000748B3"/>
    <w:rsid w:val="00090E4C"/>
    <w:rsid w:val="001165CB"/>
    <w:rsid w:val="00142590"/>
    <w:rsid w:val="00156CCF"/>
    <w:rsid w:val="001946D2"/>
    <w:rsid w:val="001D4773"/>
    <w:rsid w:val="002147F9"/>
    <w:rsid w:val="002208FF"/>
    <w:rsid w:val="002701E9"/>
    <w:rsid w:val="00287418"/>
    <w:rsid w:val="002F23A2"/>
    <w:rsid w:val="00315D5B"/>
    <w:rsid w:val="003C4760"/>
    <w:rsid w:val="003E21C3"/>
    <w:rsid w:val="00474156"/>
    <w:rsid w:val="00493B2A"/>
    <w:rsid w:val="00494085"/>
    <w:rsid w:val="00505D1C"/>
    <w:rsid w:val="0057163A"/>
    <w:rsid w:val="005D456D"/>
    <w:rsid w:val="00600538"/>
    <w:rsid w:val="00604B45"/>
    <w:rsid w:val="00604FC0"/>
    <w:rsid w:val="00635207"/>
    <w:rsid w:val="00643CEB"/>
    <w:rsid w:val="0064657C"/>
    <w:rsid w:val="006B0718"/>
    <w:rsid w:val="006B514E"/>
    <w:rsid w:val="006D1650"/>
    <w:rsid w:val="006D7258"/>
    <w:rsid w:val="00701FC5"/>
    <w:rsid w:val="00711173"/>
    <w:rsid w:val="00713D5C"/>
    <w:rsid w:val="007A5E8E"/>
    <w:rsid w:val="007B758D"/>
    <w:rsid w:val="007E5DCC"/>
    <w:rsid w:val="00817B88"/>
    <w:rsid w:val="00850778"/>
    <w:rsid w:val="00874DE2"/>
    <w:rsid w:val="008803A2"/>
    <w:rsid w:val="008E55F5"/>
    <w:rsid w:val="008E5787"/>
    <w:rsid w:val="009328A8"/>
    <w:rsid w:val="00973F37"/>
    <w:rsid w:val="00987DE9"/>
    <w:rsid w:val="00995F09"/>
    <w:rsid w:val="009C2D49"/>
    <w:rsid w:val="00A039FA"/>
    <w:rsid w:val="00A567C2"/>
    <w:rsid w:val="00A60AC9"/>
    <w:rsid w:val="00A63DB9"/>
    <w:rsid w:val="00A7363A"/>
    <w:rsid w:val="00A74B46"/>
    <w:rsid w:val="00A76EED"/>
    <w:rsid w:val="00A93AE8"/>
    <w:rsid w:val="00B059BA"/>
    <w:rsid w:val="00B26C09"/>
    <w:rsid w:val="00B83C9D"/>
    <w:rsid w:val="00B878BD"/>
    <w:rsid w:val="00BE7E3A"/>
    <w:rsid w:val="00BF6728"/>
    <w:rsid w:val="00C6102E"/>
    <w:rsid w:val="00CC238F"/>
    <w:rsid w:val="00CD081F"/>
    <w:rsid w:val="00CE7A71"/>
    <w:rsid w:val="00D04DAA"/>
    <w:rsid w:val="00D10462"/>
    <w:rsid w:val="00D223C9"/>
    <w:rsid w:val="00D35A3A"/>
    <w:rsid w:val="00DE691F"/>
    <w:rsid w:val="00E32647"/>
    <w:rsid w:val="00E46D40"/>
    <w:rsid w:val="00E75E28"/>
    <w:rsid w:val="00EA2753"/>
    <w:rsid w:val="00EB0775"/>
    <w:rsid w:val="00F22A6C"/>
    <w:rsid w:val="00F41655"/>
    <w:rsid w:val="00F676AD"/>
    <w:rsid w:val="00F8386A"/>
    <w:rsid w:val="00F94376"/>
    <w:rsid w:val="00FA7BAF"/>
    <w:rsid w:val="096F2D6F"/>
    <w:rsid w:val="0F53130B"/>
    <w:rsid w:val="14C17B98"/>
    <w:rsid w:val="1606512D"/>
    <w:rsid w:val="20041C42"/>
    <w:rsid w:val="2F7E1F6D"/>
    <w:rsid w:val="3B0C7F94"/>
    <w:rsid w:val="3DAD70DD"/>
    <w:rsid w:val="3F2F74AE"/>
    <w:rsid w:val="45B76937"/>
    <w:rsid w:val="4BD30910"/>
    <w:rsid w:val="4DCF7DD8"/>
    <w:rsid w:val="545F0C82"/>
    <w:rsid w:val="55BFBF55"/>
    <w:rsid w:val="5852393E"/>
    <w:rsid w:val="67717D76"/>
    <w:rsid w:val="68000E8B"/>
    <w:rsid w:val="69546E54"/>
    <w:rsid w:val="6EB07A36"/>
    <w:rsid w:val="6EFE0D69"/>
    <w:rsid w:val="70A039A8"/>
    <w:rsid w:val="72FB415F"/>
    <w:rsid w:val="79F3D599"/>
    <w:rsid w:val="7C835E67"/>
    <w:rsid w:val="CFCBDAB8"/>
    <w:rsid w:val="FDFE7DA9"/>
    <w:rsid w:val="FFB89226"/>
    <w:rsid w:val="FFF20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0070C0" w:sz="12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7"/>
    <w:basedOn w:val="1"/>
    <w:next w:val="1"/>
    <w:unhideWhenUsed/>
    <w:qFormat/>
    <w:uiPriority w:val="99"/>
    <w:pPr>
      <w:spacing w:line="600" w:lineRule="exact"/>
      <w:ind w:firstLine="880" w:firstLineChars="200"/>
    </w:pPr>
    <w:rPr>
      <w:rFonts w:ascii="Times New Roman" w:hAnsi="Times New Roman" w:eastAsia="方正仿宋_GBK" w:cs="Times New Roman"/>
      <w:sz w:val="32"/>
      <w:szCs w:val="24"/>
    </w:rPr>
  </w:style>
  <w:style w:type="paragraph" w:styleId="7">
    <w:name w:val="Normal (Web)"/>
    <w:basedOn w:val="1"/>
    <w:unhideWhenUsed/>
    <w:qFormat/>
    <w:uiPriority w:val="0"/>
    <w:pPr>
      <w:spacing w:line="580" w:lineRule="exact"/>
    </w:pPr>
    <w:rPr>
      <w:rFonts w:ascii="黑体" w:hAnsi="黑体" w:eastAsia="黑体" w:cs="Times New Roman"/>
      <w:b/>
      <w:kern w:val="24"/>
      <w:sz w:val="24"/>
      <w:szCs w:val="32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5">
    <w:name w:val="无间隔1"/>
    <w:qFormat/>
    <w:uiPriority w:val="99"/>
    <w:pPr>
      <w:widowControl w:val="0"/>
      <w:spacing w:line="360" w:lineRule="auto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淮北科学技术局发布</Company>
  <Pages>9</Pages>
  <Words>606</Words>
  <Characters>3459</Characters>
  <Lines>28</Lines>
  <Paragraphs>8</Paragraphs>
  <TotalTime>64</TotalTime>
  <ScaleCrop>false</ScaleCrop>
  <LinksUpToDate>false</LinksUpToDate>
  <CharactersWithSpaces>4057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2022-12-17T16:15:00Z</dcterms:created>
  <dc:creator>Administrator</dc:creator>
  <cp:lastModifiedBy>Administrator</cp:lastModifiedBy>
  <dcterms:modified xsi:type="dcterms:W3CDTF">2025-11-07T02:19:59Z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3C6CD43BB7ECF550BDE99A63A40F9A9C</vt:lpwstr>
  </property>
</Properties>
</file>